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征集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2019年度长春市思想政治工作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优秀调研成果的</w:t>
      </w:r>
      <w:r>
        <w:rPr>
          <w:rFonts w:asciiTheme="majorEastAsia" w:hAnsiTheme="majorEastAsia" w:eastAsiaTheme="majorEastAsia"/>
          <w:b/>
          <w:sz w:val="44"/>
          <w:szCs w:val="44"/>
        </w:rPr>
        <w:t>通知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各高校党委宣传部，各县（市）区、开发区教育局（文教局），各直属单位：</w:t>
      </w:r>
    </w:p>
    <w:p>
      <w:pPr>
        <w:ind w:firstLine="66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仿宋" w:eastAsia="仿宋_GB2312" w:cs="Times New Roman"/>
          <w:sz w:val="32"/>
          <w:szCs w:val="32"/>
        </w:rPr>
        <w:t>提升思想政治工作的时代性、针对性和有效性，调动广大思想政治工作者的积极性、主动性和创造性，推动思想政治工作出典型出经验出成果，营造探索、实践、研究思想政治工作的浓厚氛围，</w:t>
      </w:r>
      <w:r>
        <w:rPr>
          <w:rFonts w:hint="eastAsia" w:ascii="仿宋_GB2312" w:eastAsia="仿宋_GB2312" w:hAnsiTheme="minorEastAsia"/>
          <w:sz w:val="32"/>
          <w:szCs w:val="32"/>
        </w:rPr>
        <w:t>按照中共长春市委宣传部《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关于开展2019年度“长春市思想政治工作优秀研究成果和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优秀研究单位”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评选表彰活动的通知</w:t>
      </w:r>
      <w:r>
        <w:rPr>
          <w:rFonts w:hint="eastAsia" w:ascii="仿宋_GB2312" w:eastAsia="仿宋_GB2312" w:hAnsiTheme="minorEastAsia"/>
          <w:sz w:val="32"/>
          <w:szCs w:val="32"/>
        </w:rPr>
        <w:t>》要求，现面向全市教育系统征集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2019年度总结完成推出的思想政治工作研究成果。相关要求如下：</w:t>
      </w:r>
    </w:p>
    <w:p>
      <w:pPr>
        <w:ind w:firstLine="66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一、征集范围、奖项设置及应用转化</w:t>
      </w:r>
    </w:p>
    <w:p>
      <w:pPr>
        <w:ind w:firstLine="660"/>
        <w:jc w:val="left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1.征集范围：全市大中小学。</w:t>
      </w:r>
    </w:p>
    <w:p>
      <w:pPr>
        <w:ind w:firstLine="660"/>
        <w:jc w:val="left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2.奖项设置及应用转化：中共长春市委宣传部评选表彰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设“优秀研究成果”（一、二、三等奖）和“优秀研究单位”奖项，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颁发“优秀研究成果”证书和“优秀研究单位”奖牌。编辑出版《2019年长春市思想政治工作优秀研究成果汇编》，组织推荐参与吉林省政研会、中国政研会年度优秀研究成果评选表彰。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二、参与评选条件内容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必须是坚持正确的政治立场，充分体现高举习近平新时代中国特色社会主义思想伟大旗帜，贯彻落实党的十九大、十九届三中、四中全会精神，贯彻落实全国、全省、全市宣传部长会议精神，贯彻落实市委十三届五次、六次、七次全会精神等思想政治工作领域的理论实践研究成果。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2.必须是理论联系实际，既有高屋建瓴理论深度，又有推陈出新工作实践的研究成果，书籍不列入参评范围。</w:t>
      </w:r>
    </w:p>
    <w:p>
      <w:pPr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3.必须是彰显原创性的主题鲜明、论据详实、论证充分、文字流畅的专题型、综述型、综合型的学术类、咨政类研究成果，空话套话、</w:t>
      </w:r>
      <w:r>
        <w:rPr>
          <w:rFonts w:ascii="仿宋_GB2312" w:hAnsi="Times New Roman" w:eastAsia="仿宋_GB2312" w:cs="Times New Roman"/>
          <w:sz w:val="32"/>
          <w:szCs w:val="32"/>
        </w:rPr>
        <w:t>抄袭剽窃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的不予评选。</w:t>
      </w:r>
    </w:p>
    <w:p>
      <w:pPr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三、参与评选有关要求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1.要明确题材。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要以调查报告、案例分析、实践研究为主，突出实践性、研究性、指导性、工作性，字数限定在3000-5000字</w:t>
      </w:r>
      <w:r>
        <w:rPr>
          <w:rFonts w:hint="eastAsia" w:ascii="仿宋_GB2312" w:hAnsi="宋体" w:eastAsia="仿宋_GB2312" w:cs="Times New Roman"/>
          <w:sz w:val="32"/>
          <w:szCs w:val="32"/>
        </w:rPr>
        <w:t>)。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2.要把握时限。</w:t>
      </w:r>
      <w:r>
        <w:rPr>
          <w:rFonts w:hint="eastAsia" w:ascii="仿宋" w:hAnsi="仿宋" w:eastAsia="仿宋" w:cs="仿宋"/>
          <w:sz w:val="32"/>
          <w:szCs w:val="32"/>
        </w:rPr>
        <w:t>请务必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将一式三份的纸质申报材料（包括申报表、文字材料。申报表和文字材料格式版式要求可到</w:t>
      </w:r>
      <w:r>
        <w:fldChar w:fldCharType="begin"/>
      </w:r>
      <w:r>
        <w:instrText xml:space="preserve"> HYPERLINK "mailto:ccszyh329@126.com"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ccszyh329@126.com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宋体" w:eastAsia="仿宋_GB2312" w:cs="Times New Roman"/>
          <w:sz w:val="32"/>
          <w:szCs w:val="32"/>
        </w:rPr>
        <w:t>邮箱下载，密码88776268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）和电子版于3月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日前上报至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长春建筑学院科研处（行政一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308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）电子邮箱：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6023194@qq.com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，逾期不予受理。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联系人温希锦 ，联系电话13596168903。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1598" w:leftChars="304" w:hanging="960" w:hangingChars="3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附件：1.</w:t>
      </w:r>
      <w:r>
        <w:rPr>
          <w:rFonts w:hint="eastAsia" w:ascii="仿宋" w:hAnsi="仿宋" w:eastAsia="仿宋" w:cs="仿宋"/>
          <w:bCs/>
          <w:sz w:val="32"/>
          <w:szCs w:val="32"/>
        </w:rPr>
        <w:t>2019年度“长春市思想政治工作优秀研究成果和优秀研究单位”评选表彰活动</w:t>
      </w:r>
      <w:r>
        <w:rPr>
          <w:rFonts w:hint="eastAsia" w:ascii="仿宋_GB2312" w:hAnsi="宋体" w:eastAsia="仿宋_GB2312" w:cs="Times New Roman"/>
          <w:sz w:val="32"/>
          <w:szCs w:val="32"/>
        </w:rPr>
        <w:t>申报表</w:t>
      </w:r>
    </w:p>
    <w:p>
      <w:pPr>
        <w:ind w:firstLine="1600" w:firstLineChars="5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2.申报材料格式版式要求</w:t>
      </w:r>
    </w:p>
    <w:p>
      <w:pPr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中共长春市委教育工委宣传部</w:t>
      </w:r>
    </w:p>
    <w:p>
      <w:pPr>
        <w:ind w:left="36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2020年2月19日</w:t>
      </w: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napToGrid w:val="0"/>
        <w:spacing w:line="580" w:lineRule="exact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附件1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2019年度“长春市思想政治工作优秀研究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成果和优秀研究单位”评选表彰活动申报表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04"/>
        <w:gridCol w:w="296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6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6661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6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661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课题组成员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2960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职  务</w:t>
            </w:r>
          </w:p>
        </w:tc>
        <w:tc>
          <w:tcPr>
            <w:tcW w:w="1997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960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1997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960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1997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960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1997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86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内容概要</w:t>
            </w:r>
          </w:p>
        </w:tc>
        <w:tc>
          <w:tcPr>
            <w:tcW w:w="6661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86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应用情况（获奖、刊载、批示）</w:t>
            </w:r>
          </w:p>
        </w:tc>
        <w:tc>
          <w:tcPr>
            <w:tcW w:w="6661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6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单位意见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661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kern w:val="0"/>
                <w:sz w:val="44"/>
                <w:szCs w:val="44"/>
              </w:rPr>
            </w:pPr>
          </w:p>
        </w:tc>
      </w:tr>
    </w:tbl>
    <w:p>
      <w:pPr>
        <w:spacing w:line="580" w:lineRule="exact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附件2</w:t>
      </w:r>
    </w:p>
    <w:p>
      <w:pPr>
        <w:spacing w:line="58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申报材料格式版式要求</w:t>
      </w:r>
    </w:p>
    <w:p>
      <w:pPr>
        <w:snapToGrid w:val="0"/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关于×××实践研究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（标题：二号宋体加粗）</w:t>
      </w:r>
    </w:p>
    <w:p>
      <w:pPr>
        <w:snapToGrid w:val="0"/>
        <w:spacing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×××××××××（作者：三号楷体加粗）</w:t>
      </w:r>
    </w:p>
    <w:p>
      <w:pPr>
        <w:snapToGrid w:val="0"/>
        <w:spacing w:line="58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8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××××××××××（正文：三号仿宋）</w:t>
      </w:r>
    </w:p>
    <w:p>
      <w:pPr>
        <w:snapToGrid w:val="0"/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一、××××××××××</w:t>
      </w:r>
      <w:r>
        <w:rPr>
          <w:rFonts w:hint="eastAsia" w:ascii="仿宋" w:hAnsi="仿宋" w:eastAsia="仿宋" w:cs="仿宋"/>
          <w:sz w:val="32"/>
          <w:szCs w:val="32"/>
        </w:rPr>
        <w:t>(一级标题：三号黑体加粗)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（一）×××××××××××</w:t>
      </w:r>
      <w:r>
        <w:rPr>
          <w:rFonts w:hint="eastAsia" w:ascii="仿宋" w:hAnsi="仿宋" w:eastAsia="仿宋" w:cs="仿宋"/>
          <w:bCs/>
          <w:sz w:val="32"/>
          <w:szCs w:val="32"/>
        </w:rPr>
        <w:t>（二级标题：楷体加粗）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1．××××××××××××××××</w:t>
      </w:r>
      <w:r>
        <w:rPr>
          <w:rFonts w:hint="eastAsia" w:ascii="仿宋" w:hAnsi="仿宋" w:eastAsia="仿宋" w:cs="仿宋"/>
          <w:sz w:val="32"/>
          <w:szCs w:val="32"/>
        </w:rPr>
        <w:t>（三号仿宋）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．××××××××××××××××（三号仿宋）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）×××××××××××</w:t>
      </w:r>
      <w:r>
        <w:rPr>
          <w:rFonts w:hint="eastAsia" w:ascii="仿宋" w:hAnsi="仿宋" w:eastAsia="仿宋" w:cs="仿宋"/>
          <w:bCs/>
          <w:sz w:val="32"/>
          <w:szCs w:val="32"/>
        </w:rPr>
        <w:t>（二级标题：楷体加粗）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×××××××××××××××××（三号仿宋）</w:t>
      </w:r>
    </w:p>
    <w:p>
      <w:pPr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二、××××××××××</w:t>
      </w:r>
      <w:r>
        <w:rPr>
          <w:rFonts w:hint="eastAsia" w:ascii="仿宋" w:hAnsi="仿宋" w:eastAsia="仿宋" w:cs="仿宋"/>
          <w:sz w:val="32"/>
          <w:szCs w:val="32"/>
        </w:rPr>
        <w:t>(一级标题：三号黑体加粗)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×××××××××××××××××（三号仿宋）</w:t>
      </w:r>
    </w:p>
    <w:p>
      <w:pPr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三、××××××××××</w:t>
      </w:r>
      <w:r>
        <w:rPr>
          <w:rFonts w:hint="eastAsia" w:ascii="仿宋" w:hAnsi="仿宋" w:eastAsia="仿宋" w:cs="仿宋"/>
          <w:sz w:val="32"/>
          <w:szCs w:val="32"/>
        </w:rPr>
        <w:t>(一级标题：三号黑体加粗)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×××××××××××××××××（三号仿宋）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纸型：A4；页面设置：</w:t>
      </w:r>
      <w:r>
        <w:rPr>
          <w:rFonts w:ascii="Times New Roman" w:hAnsi="Times New Roman" w:eastAsia="仿宋_GB2312" w:cs="Times New Roman"/>
          <w:sz w:val="32"/>
          <w:szCs w:val="32"/>
        </w:rPr>
        <w:t>上下边距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3.5厘米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左右边距2.7厘米；行距：固定值30磅；页码：下端</w:t>
      </w:r>
      <w:r>
        <w:rPr>
          <w:rFonts w:ascii="Times New Roman" w:hAnsi="Times New Roman" w:eastAsia="仿宋_GB2312" w:cs="Times New Roman"/>
          <w:sz w:val="32"/>
          <w:szCs w:val="32"/>
        </w:rPr>
        <w:t>居中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；首页不显示页码。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申报材料排序：目录——申报表——申报材料。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81"/>
    <w:rsid w:val="0000437A"/>
    <w:rsid w:val="00063688"/>
    <w:rsid w:val="000C5555"/>
    <w:rsid w:val="001937EA"/>
    <w:rsid w:val="001B0AE1"/>
    <w:rsid w:val="00255295"/>
    <w:rsid w:val="00285BAE"/>
    <w:rsid w:val="00291690"/>
    <w:rsid w:val="003A78A1"/>
    <w:rsid w:val="003F5DD0"/>
    <w:rsid w:val="00491B9E"/>
    <w:rsid w:val="004D1E97"/>
    <w:rsid w:val="004D48AD"/>
    <w:rsid w:val="0055239E"/>
    <w:rsid w:val="00627581"/>
    <w:rsid w:val="0073337B"/>
    <w:rsid w:val="00753E42"/>
    <w:rsid w:val="00760D81"/>
    <w:rsid w:val="00865992"/>
    <w:rsid w:val="00881CB6"/>
    <w:rsid w:val="008B0A59"/>
    <w:rsid w:val="00906129"/>
    <w:rsid w:val="009341CA"/>
    <w:rsid w:val="009B3F4D"/>
    <w:rsid w:val="00A016B1"/>
    <w:rsid w:val="00A37E39"/>
    <w:rsid w:val="00A81390"/>
    <w:rsid w:val="00A86BA4"/>
    <w:rsid w:val="00B00F2E"/>
    <w:rsid w:val="00B64C6E"/>
    <w:rsid w:val="00B97C1A"/>
    <w:rsid w:val="00BC3896"/>
    <w:rsid w:val="00BF0BDB"/>
    <w:rsid w:val="00C154EA"/>
    <w:rsid w:val="00C15746"/>
    <w:rsid w:val="00C20771"/>
    <w:rsid w:val="00C21DF7"/>
    <w:rsid w:val="00C53CD0"/>
    <w:rsid w:val="00CD1C0E"/>
    <w:rsid w:val="00CF5BFB"/>
    <w:rsid w:val="00D1728A"/>
    <w:rsid w:val="00D206AE"/>
    <w:rsid w:val="00D4125B"/>
    <w:rsid w:val="00DC7DC5"/>
    <w:rsid w:val="00DE319F"/>
    <w:rsid w:val="00E16A6E"/>
    <w:rsid w:val="00E75717"/>
    <w:rsid w:val="00EE28DE"/>
    <w:rsid w:val="00EF03DA"/>
    <w:rsid w:val="00F01D8B"/>
    <w:rsid w:val="00F15CE6"/>
    <w:rsid w:val="00FE5919"/>
    <w:rsid w:val="32001D19"/>
    <w:rsid w:val="57332F9C"/>
    <w:rsid w:val="64C0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</Words>
  <Characters>1474</Characters>
  <Lines>12</Lines>
  <Paragraphs>3</Paragraphs>
  <TotalTime>2</TotalTime>
  <ScaleCrop>false</ScaleCrop>
  <LinksUpToDate>false</LinksUpToDate>
  <CharactersWithSpaces>1729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2020-02-19T01:31:00Z</dcterms:created>
  <dc:creator>LENOVO</dc:creator>
  <cp:lastModifiedBy>昼夜</cp:lastModifiedBy>
  <dcterms:modified xsi:type="dcterms:W3CDTF">2020-02-20T03:49:57Z</dcterms:modified>
  <cp:revision>1059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