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CESI小标宋-GB2312" w:eastAsia="方正小标宋简体" w:cs="CESI小标宋-GB2312"/>
          <w:sz w:val="44"/>
          <w:szCs w:val="44"/>
        </w:rPr>
      </w:pPr>
      <w:r>
        <w:rPr>
          <w:rFonts w:hint="eastAsia" w:ascii="方正小标宋简体" w:hAnsi="CESI小标宋-GB2312" w:eastAsia="方正小标宋简体" w:cs="CESI小标宋-GB2312"/>
          <w:sz w:val="44"/>
          <w:szCs w:val="44"/>
        </w:rPr>
        <w:t>吉林省高校优秀青年科研创新人才储备库</w:t>
      </w:r>
    </w:p>
    <w:p>
      <w:pPr>
        <w:spacing w:line="600" w:lineRule="exact"/>
        <w:jc w:val="center"/>
        <w:rPr>
          <w:rFonts w:ascii="方正小标宋简体" w:hAnsi="CESI小标宋-GB2312" w:eastAsia="方正小标宋简体" w:cs="CESI小标宋-GB2312"/>
          <w:sz w:val="44"/>
          <w:szCs w:val="44"/>
        </w:rPr>
      </w:pPr>
      <w:r>
        <w:rPr>
          <w:rFonts w:hint="eastAsia" w:ascii="方正小标宋简体" w:hAnsi="CESI小标宋-GB2312" w:eastAsia="方正小标宋简体" w:cs="CESI小标宋-GB2312"/>
          <w:sz w:val="44"/>
          <w:szCs w:val="44"/>
        </w:rPr>
        <w:t>建设实施</w:t>
      </w:r>
      <w:r>
        <w:rPr>
          <w:rFonts w:ascii="方正小标宋简体" w:hAnsi="CESI小标宋-GB2312" w:eastAsia="方正小标宋简体" w:cs="CESI小标宋-GB2312"/>
          <w:sz w:val="44"/>
          <w:szCs w:val="44"/>
        </w:rPr>
        <w:t>方案</w:t>
      </w:r>
    </w:p>
    <w:p>
      <w:pPr>
        <w:spacing w:line="570" w:lineRule="exact"/>
        <w:ind w:firstLine="640"/>
        <w:rPr>
          <w:rFonts w:ascii="仿宋_GB2312" w:hAnsi="仿宋" w:eastAsia="仿宋_GB2312"/>
          <w:sz w:val="32"/>
          <w:szCs w:val="32"/>
        </w:rPr>
      </w:pPr>
    </w:p>
    <w:p>
      <w:pPr>
        <w:spacing w:line="570" w:lineRule="exact"/>
        <w:ind w:firstLine="640"/>
        <w:rPr>
          <w:rFonts w:ascii="仿宋_GB2312" w:hAnsi="仿宋" w:eastAsia="仿宋_GB2312"/>
          <w:sz w:val="32"/>
          <w:szCs w:val="32"/>
        </w:rPr>
      </w:pPr>
      <w:r>
        <w:rPr>
          <w:rFonts w:hint="eastAsia" w:ascii="仿宋_GB2312" w:hAnsi="仿宋" w:eastAsia="仿宋_GB2312"/>
          <w:sz w:val="32"/>
          <w:szCs w:val="32"/>
        </w:rPr>
        <w:t>为全面贯彻落实党的二十大报告关于教育、科技、人才工作的战略部署，深入贯彻习近平总书记关于做好新时代人才工作的重要思想和视察吉林重要讲话重要指示精神，汇聚高校人才资源和科技创新发展要素，加快实施人才强省战略，现</w:t>
      </w:r>
      <w:r>
        <w:rPr>
          <w:rFonts w:ascii="仿宋_GB2312" w:hAnsi="仿宋" w:eastAsia="仿宋_GB2312"/>
          <w:sz w:val="32"/>
          <w:szCs w:val="32"/>
        </w:rPr>
        <w:t>就</w:t>
      </w:r>
      <w:r>
        <w:rPr>
          <w:rFonts w:hint="eastAsia" w:ascii="仿宋_GB2312" w:hAnsi="仿宋" w:eastAsia="仿宋_GB2312"/>
          <w:sz w:val="32"/>
          <w:szCs w:val="32"/>
        </w:rPr>
        <w:t>建设吉林省高校优秀青年科研创新人才储备库，制定如下方案。</w:t>
      </w:r>
    </w:p>
    <w:p>
      <w:pPr>
        <w:spacing w:line="570" w:lineRule="exact"/>
        <w:ind w:firstLine="640"/>
        <w:rPr>
          <w:rFonts w:ascii="黑体" w:hAnsi="黑体" w:eastAsia="黑体"/>
          <w:sz w:val="32"/>
          <w:szCs w:val="32"/>
        </w:rPr>
      </w:pPr>
      <w:bookmarkStart w:id="0" w:name="_GoBack"/>
      <w:bookmarkEnd w:id="0"/>
      <w:r>
        <w:rPr>
          <w:rFonts w:hint="eastAsia" w:ascii="黑体" w:hAnsi="黑体" w:eastAsia="黑体"/>
          <w:sz w:val="32"/>
          <w:szCs w:val="32"/>
        </w:rPr>
        <w:t>总体要求</w:t>
      </w:r>
    </w:p>
    <w:p>
      <w:pPr>
        <w:spacing w:line="570" w:lineRule="exact"/>
        <w:ind w:firstLine="640"/>
        <w:rPr>
          <w:rFonts w:ascii="仿宋_GB2312" w:hAnsi="仿宋" w:eastAsia="仿宋_GB2312"/>
          <w:sz w:val="32"/>
          <w:szCs w:val="32"/>
        </w:rPr>
      </w:pPr>
      <w:r>
        <w:rPr>
          <w:rFonts w:hint="eastAsia" w:ascii="仿宋_GB2312" w:hAnsi="仿宋" w:eastAsia="仿宋_GB2312"/>
          <w:sz w:val="32"/>
          <w:szCs w:val="32"/>
        </w:rPr>
        <w:t>以</w:t>
      </w:r>
      <w:r>
        <w:rPr>
          <w:rFonts w:ascii="仿宋_GB2312" w:hAnsi="仿宋" w:eastAsia="仿宋_GB2312"/>
          <w:sz w:val="32"/>
          <w:szCs w:val="32"/>
        </w:rPr>
        <w:t>习近平新时代中国特色社会主义思想为指导，</w:t>
      </w:r>
      <w:r>
        <w:rPr>
          <w:rFonts w:hint="eastAsia" w:ascii="仿宋_GB2312" w:hAnsi="仿宋" w:eastAsia="仿宋_GB2312"/>
          <w:sz w:val="32"/>
          <w:szCs w:val="32"/>
        </w:rPr>
        <w:t>聚焦振兴发展紧缺人才和“</w:t>
      </w:r>
      <w:r>
        <w:rPr>
          <w:rFonts w:ascii="仿宋_GB2312" w:hAnsi="仿宋" w:eastAsia="仿宋_GB2312"/>
          <w:sz w:val="32"/>
          <w:szCs w:val="32"/>
        </w:rPr>
        <w:t>一主六双</w:t>
      </w:r>
      <w:r>
        <w:rPr>
          <w:rFonts w:hint="eastAsia" w:ascii="仿宋_GB2312" w:hAnsi="仿宋" w:eastAsia="仿宋_GB2312"/>
          <w:sz w:val="32"/>
          <w:szCs w:val="32"/>
        </w:rPr>
        <w:t>”高质量</w:t>
      </w:r>
      <w:r>
        <w:rPr>
          <w:rFonts w:ascii="仿宋_GB2312" w:hAnsi="仿宋" w:eastAsia="仿宋_GB2312"/>
          <w:sz w:val="32"/>
          <w:szCs w:val="32"/>
        </w:rPr>
        <w:t>发展战略</w:t>
      </w:r>
      <w:r>
        <w:rPr>
          <w:rFonts w:hint="eastAsia" w:ascii="仿宋_GB2312" w:hAnsi="仿宋" w:eastAsia="仿宋_GB2312"/>
          <w:sz w:val="32"/>
          <w:szCs w:val="32"/>
        </w:rPr>
        <w:t>重大</w:t>
      </w:r>
      <w:r>
        <w:rPr>
          <w:rFonts w:ascii="仿宋_GB2312" w:hAnsi="仿宋" w:eastAsia="仿宋_GB2312"/>
          <w:sz w:val="32"/>
          <w:szCs w:val="32"/>
        </w:rPr>
        <w:t>需求</w:t>
      </w:r>
      <w:r>
        <w:rPr>
          <w:rFonts w:hint="eastAsia" w:ascii="仿宋_GB2312" w:hAnsi="仿宋" w:eastAsia="仿宋_GB2312"/>
          <w:sz w:val="32"/>
          <w:szCs w:val="32"/>
        </w:rPr>
        <w:t>，以</w:t>
      </w:r>
      <w:r>
        <w:rPr>
          <w:rFonts w:ascii="仿宋_GB2312" w:hAnsi="仿宋" w:eastAsia="仿宋_GB2312"/>
          <w:sz w:val="32"/>
          <w:szCs w:val="32"/>
        </w:rPr>
        <w:t>增强高校</w:t>
      </w:r>
      <w:r>
        <w:rPr>
          <w:rFonts w:hint="eastAsia" w:ascii="仿宋_GB2312" w:hAnsi="仿宋" w:eastAsia="仿宋_GB2312"/>
          <w:sz w:val="32"/>
          <w:szCs w:val="32"/>
        </w:rPr>
        <w:t>科技</w:t>
      </w:r>
      <w:r>
        <w:rPr>
          <w:rFonts w:ascii="仿宋_GB2312" w:hAnsi="仿宋" w:eastAsia="仿宋_GB2312"/>
          <w:sz w:val="32"/>
          <w:szCs w:val="32"/>
        </w:rPr>
        <w:t>创新</w:t>
      </w:r>
      <w:r>
        <w:rPr>
          <w:rFonts w:hint="eastAsia" w:ascii="仿宋_GB2312" w:hAnsi="仿宋" w:eastAsia="仿宋_GB2312"/>
          <w:sz w:val="32"/>
          <w:szCs w:val="32"/>
        </w:rPr>
        <w:t>能力为</w:t>
      </w:r>
      <w:r>
        <w:rPr>
          <w:rFonts w:ascii="仿宋_GB2312" w:hAnsi="仿宋" w:eastAsia="仿宋_GB2312"/>
          <w:sz w:val="32"/>
          <w:szCs w:val="32"/>
        </w:rPr>
        <w:t>目标，以</w:t>
      </w:r>
      <w:r>
        <w:rPr>
          <w:rFonts w:hint="eastAsia" w:ascii="仿宋_GB2312" w:hAnsi="仿宋" w:eastAsia="仿宋_GB2312"/>
          <w:sz w:val="32"/>
          <w:szCs w:val="32"/>
        </w:rPr>
        <w:t>提升人才</w:t>
      </w:r>
      <w:r>
        <w:rPr>
          <w:rFonts w:ascii="仿宋_GB2312" w:hAnsi="仿宋" w:eastAsia="仿宋_GB2312"/>
          <w:sz w:val="32"/>
          <w:szCs w:val="32"/>
        </w:rPr>
        <w:t>自主培养能力为重点，</w:t>
      </w:r>
      <w:r>
        <w:rPr>
          <w:rFonts w:hint="eastAsia" w:ascii="仿宋_GB2312" w:hAnsi="仿宋" w:eastAsia="仿宋_GB2312"/>
          <w:sz w:val="32"/>
          <w:szCs w:val="32"/>
        </w:rPr>
        <w:t>以</w:t>
      </w:r>
      <w:r>
        <w:rPr>
          <w:rFonts w:ascii="仿宋_GB2312" w:hAnsi="仿宋" w:eastAsia="仿宋_GB2312"/>
          <w:sz w:val="32"/>
          <w:szCs w:val="32"/>
        </w:rPr>
        <w:t>深化体制机制改革为动力，</w:t>
      </w:r>
      <w:r>
        <w:rPr>
          <w:rFonts w:hint="eastAsia" w:ascii="仿宋_GB2312" w:hAnsi="仿宋" w:eastAsia="仿宋_GB2312"/>
          <w:sz w:val="32"/>
          <w:szCs w:val="32"/>
        </w:rPr>
        <w:t>依托国家</w:t>
      </w:r>
      <w:r>
        <w:rPr>
          <w:rFonts w:ascii="仿宋_GB2312" w:hAnsi="仿宋" w:eastAsia="仿宋_GB2312"/>
          <w:sz w:val="32"/>
          <w:szCs w:val="32"/>
        </w:rPr>
        <w:t>和省级</w:t>
      </w:r>
      <w:r>
        <w:rPr>
          <w:rFonts w:hint="eastAsia" w:ascii="仿宋_GB2312" w:hAnsi="仿宋" w:eastAsia="仿宋_GB2312"/>
          <w:sz w:val="32"/>
          <w:szCs w:val="32"/>
        </w:rPr>
        <w:t>科研平台或基地，培养和造就一批道德素质过硬、学术基础扎实、具有突出创新能力和发展潜力的青年科研创新人才，形成优秀人才的团队效应和能量聚集，为我省高等教育高质量发展和创新</w:t>
      </w:r>
      <w:r>
        <w:rPr>
          <w:rFonts w:ascii="仿宋_GB2312" w:hAnsi="仿宋" w:eastAsia="仿宋_GB2312"/>
          <w:sz w:val="32"/>
          <w:szCs w:val="32"/>
        </w:rPr>
        <w:t>型省份建设</w:t>
      </w:r>
      <w:r>
        <w:rPr>
          <w:rFonts w:hint="eastAsia" w:ascii="仿宋_GB2312" w:hAnsi="仿宋" w:eastAsia="仿宋_GB2312"/>
          <w:sz w:val="32"/>
          <w:szCs w:val="32"/>
        </w:rPr>
        <w:t>提供有力科技</w:t>
      </w:r>
      <w:r>
        <w:rPr>
          <w:rFonts w:ascii="仿宋_GB2312" w:hAnsi="仿宋" w:eastAsia="仿宋_GB2312"/>
          <w:sz w:val="32"/>
          <w:szCs w:val="32"/>
        </w:rPr>
        <w:t>和人才支撑</w:t>
      </w:r>
      <w:r>
        <w:rPr>
          <w:rFonts w:hint="eastAsia" w:ascii="仿宋_GB2312" w:hAnsi="仿宋" w:eastAsia="仿宋_GB2312"/>
          <w:sz w:val="32"/>
          <w:szCs w:val="32"/>
        </w:rPr>
        <w:t>。</w:t>
      </w:r>
    </w:p>
    <w:p>
      <w:pPr>
        <w:spacing w:line="570" w:lineRule="exact"/>
        <w:ind w:firstLine="640"/>
        <w:rPr>
          <w:rFonts w:ascii="黑体" w:hAnsi="黑体" w:eastAsia="黑体"/>
          <w:sz w:val="32"/>
          <w:szCs w:val="32"/>
        </w:rPr>
      </w:pPr>
      <w:r>
        <w:rPr>
          <w:rFonts w:hint="eastAsia" w:ascii="黑体" w:hAnsi="黑体" w:eastAsia="黑体"/>
          <w:sz w:val="32"/>
          <w:szCs w:val="32"/>
        </w:rPr>
        <w:t>申报条件</w:t>
      </w:r>
    </w:p>
    <w:p>
      <w:pPr>
        <w:spacing w:line="570" w:lineRule="exact"/>
        <w:ind w:firstLine="640"/>
        <w:rPr>
          <w:rFonts w:ascii="仿宋_GB2312" w:hAnsi="仿宋" w:eastAsia="仿宋_GB2312"/>
          <w:sz w:val="32"/>
          <w:szCs w:val="32"/>
        </w:rPr>
      </w:pPr>
      <w:r>
        <w:rPr>
          <w:rFonts w:hint="eastAsia" w:ascii="仿宋_GB2312" w:hAnsi="仿宋" w:eastAsia="仿宋_GB2312"/>
          <w:sz w:val="32"/>
          <w:szCs w:val="32"/>
        </w:rPr>
        <w:t>申请</w:t>
      </w:r>
      <w:r>
        <w:rPr>
          <w:rFonts w:ascii="仿宋_GB2312" w:hAnsi="仿宋" w:eastAsia="仿宋_GB2312"/>
          <w:sz w:val="32"/>
          <w:szCs w:val="32"/>
        </w:rPr>
        <w:t>入库</w:t>
      </w:r>
      <w:r>
        <w:rPr>
          <w:rFonts w:hint="eastAsia" w:ascii="仿宋_GB2312" w:hAnsi="仿宋" w:eastAsia="仿宋_GB2312"/>
          <w:sz w:val="32"/>
          <w:szCs w:val="32"/>
        </w:rPr>
        <w:t>人员，需思想政治坚定，热爱祖国，遵纪守法，自觉拥护党的路线、方针、政策，增强“四个意识”、坚定“四个自信”、坚决做到“两个维护”，学风正派，积极践行科学家精神，且为我省高校在职（在岗）人员（含博士后）。在此基础上，各类</w:t>
      </w:r>
      <w:r>
        <w:rPr>
          <w:rFonts w:ascii="仿宋_GB2312" w:hAnsi="仿宋" w:eastAsia="仿宋_GB2312"/>
          <w:sz w:val="32"/>
          <w:szCs w:val="32"/>
        </w:rPr>
        <w:t>申请人</w:t>
      </w:r>
      <w:r>
        <w:rPr>
          <w:rFonts w:hint="eastAsia" w:ascii="仿宋_GB2312" w:hAnsi="仿宋" w:eastAsia="仿宋_GB2312"/>
          <w:sz w:val="32"/>
          <w:szCs w:val="32"/>
        </w:rPr>
        <w:t>员</w:t>
      </w:r>
      <w:r>
        <w:rPr>
          <w:rFonts w:ascii="仿宋_GB2312" w:hAnsi="仿宋" w:eastAsia="仿宋_GB2312"/>
          <w:sz w:val="32"/>
          <w:szCs w:val="32"/>
        </w:rPr>
        <w:t>还需具备</w:t>
      </w:r>
      <w:r>
        <w:rPr>
          <w:rFonts w:hint="eastAsia" w:ascii="仿宋_GB2312" w:hAnsi="仿宋" w:eastAsia="仿宋_GB2312"/>
          <w:sz w:val="32"/>
          <w:szCs w:val="32"/>
        </w:rPr>
        <w:t>下列条件。</w:t>
      </w:r>
    </w:p>
    <w:p>
      <w:pPr>
        <w:spacing w:line="570" w:lineRule="exact"/>
        <w:ind w:firstLine="640"/>
        <w:rPr>
          <w:rFonts w:ascii="仿宋_GB2312" w:hAnsi="仿宋" w:eastAsia="仿宋_GB2312"/>
          <w:sz w:val="32"/>
          <w:szCs w:val="32"/>
        </w:rPr>
      </w:pPr>
      <w:r>
        <w:rPr>
          <w:rFonts w:hint="eastAsia" w:ascii="楷体_GB2312" w:hAnsi="仿宋" w:eastAsia="楷体_GB2312"/>
          <w:sz w:val="32"/>
          <w:szCs w:val="32"/>
        </w:rPr>
        <w:t>（一）优秀科技创新人才。</w:t>
      </w:r>
      <w:r>
        <w:rPr>
          <w:rFonts w:hint="eastAsia" w:ascii="仿宋_GB2312" w:hAnsi="仿宋" w:eastAsia="仿宋_GB2312"/>
          <w:sz w:val="32"/>
          <w:szCs w:val="32"/>
        </w:rPr>
        <w:t>申请人一般应获得国内外知名高校博士学位，年龄不超过40周岁，</w:t>
      </w:r>
      <w:r>
        <w:rPr>
          <w:rFonts w:ascii="仿宋_GB2312" w:hAnsi="仿宋" w:eastAsia="仿宋_GB2312"/>
          <w:sz w:val="32"/>
          <w:szCs w:val="32"/>
        </w:rPr>
        <w:t>在基础科学理论研究或工程技术领域，取得创新性研究成果，或参与重大科研任务、高层次创新团队及省级以上创新基地和重点学科建设，研究方向属于吉林振兴发展重点领域，研究工作具有发展前景，</w:t>
      </w:r>
      <w:r>
        <w:rPr>
          <w:rFonts w:hint="eastAsia" w:ascii="仿宋_GB2312" w:hAnsi="仿宋" w:eastAsia="仿宋_GB2312"/>
          <w:sz w:val="32"/>
          <w:szCs w:val="32"/>
        </w:rPr>
        <w:t>并取得1</w:t>
      </w:r>
      <w:r>
        <w:rPr>
          <w:rFonts w:ascii="仿宋_GB2312" w:hAnsi="仿宋" w:eastAsia="仿宋_GB2312"/>
          <w:sz w:val="32"/>
          <w:szCs w:val="32"/>
        </w:rPr>
        <w:t>-2</w:t>
      </w:r>
      <w:r>
        <w:rPr>
          <w:rFonts w:hint="eastAsia" w:ascii="仿宋_GB2312" w:hAnsi="仿宋" w:eastAsia="仿宋_GB2312"/>
          <w:sz w:val="32"/>
          <w:szCs w:val="32"/>
        </w:rPr>
        <w:t>项标志性科技创新成果。人才库重点支持数理化等基础研究领域；光电子、生物医药、新材料等前沿领域；智能制造、新能源、中医药等应用领域；黑土地保护与利用、碳纤维、种质资源、秸秆变肉及交叉学科研究等重点领域相关研究人员。业绩特别突出或省内急需紧缺人才，可适当放宽年龄要求。</w:t>
      </w:r>
    </w:p>
    <w:p>
      <w:pPr>
        <w:spacing w:line="570" w:lineRule="exact"/>
        <w:ind w:firstLine="640"/>
        <w:rPr>
          <w:rFonts w:ascii="仿宋_GB2312" w:hAnsi="仿宋" w:eastAsia="仿宋_GB2312"/>
          <w:sz w:val="32"/>
          <w:szCs w:val="32"/>
        </w:rPr>
      </w:pPr>
      <w:r>
        <w:rPr>
          <w:rFonts w:hint="eastAsia" w:ascii="楷体_GB2312" w:hAnsi="仿宋" w:eastAsia="楷体_GB2312"/>
          <w:sz w:val="32"/>
          <w:szCs w:val="32"/>
        </w:rPr>
        <w:t>（二）优秀人文社科人才。</w:t>
      </w:r>
      <w:r>
        <w:rPr>
          <w:rFonts w:hint="eastAsia" w:ascii="仿宋_GB2312" w:hAnsi="仿宋" w:eastAsia="仿宋_GB2312"/>
          <w:sz w:val="32"/>
          <w:szCs w:val="32"/>
        </w:rPr>
        <w:t>申请人一般应获得国内外知名高校博士学位，年龄不超过45周岁，在哲学社会科学、经济金融管理、文化艺术等重点领域，</w:t>
      </w:r>
      <w:r>
        <w:rPr>
          <w:rFonts w:ascii="仿宋_GB2312" w:hAnsi="仿宋" w:eastAsia="仿宋_GB2312"/>
          <w:sz w:val="32"/>
          <w:szCs w:val="32"/>
        </w:rPr>
        <w:t>参与重大课题任务、重点学科建设，研究成果有一定创新或较大影响，或在理论研究、新闻宣传、出版传媒、文化艺术等领域有公认代表性作品</w:t>
      </w:r>
      <w:r>
        <w:rPr>
          <w:rFonts w:hint="eastAsia" w:ascii="仿宋_GB2312" w:hAnsi="仿宋" w:eastAsia="仿宋_GB2312"/>
          <w:sz w:val="32"/>
          <w:szCs w:val="32"/>
        </w:rPr>
        <w:t>或取得1</w:t>
      </w:r>
      <w:r>
        <w:rPr>
          <w:rFonts w:ascii="仿宋_GB2312" w:hAnsi="仿宋" w:eastAsia="仿宋_GB2312"/>
          <w:sz w:val="32"/>
          <w:szCs w:val="32"/>
        </w:rPr>
        <w:t>-2</w:t>
      </w:r>
      <w:r>
        <w:rPr>
          <w:rFonts w:hint="eastAsia" w:ascii="仿宋_GB2312" w:hAnsi="仿宋" w:eastAsia="仿宋_GB2312"/>
          <w:sz w:val="32"/>
          <w:szCs w:val="32"/>
        </w:rPr>
        <w:t>项</w:t>
      </w:r>
      <w:r>
        <w:rPr>
          <w:rFonts w:ascii="仿宋_GB2312" w:hAnsi="仿宋" w:eastAsia="仿宋_GB2312"/>
          <w:sz w:val="32"/>
          <w:szCs w:val="32"/>
        </w:rPr>
        <w:t>标志性</w:t>
      </w:r>
      <w:r>
        <w:rPr>
          <w:rFonts w:hint="eastAsia" w:ascii="仿宋_GB2312" w:hAnsi="仿宋" w:eastAsia="仿宋_GB2312"/>
          <w:sz w:val="32"/>
          <w:szCs w:val="32"/>
        </w:rPr>
        <w:t>研究成果。重点支持从事马克思主义理论、决策咨询、冷门绝学等方面研究的人员。</w:t>
      </w:r>
    </w:p>
    <w:p>
      <w:pPr>
        <w:spacing w:line="570" w:lineRule="exact"/>
        <w:ind w:firstLine="640"/>
        <w:rPr>
          <w:rFonts w:ascii="仿宋_GB2312" w:hAnsi="仿宋" w:eastAsia="仿宋_GB2312"/>
          <w:sz w:val="32"/>
          <w:szCs w:val="32"/>
        </w:rPr>
      </w:pPr>
      <w:r>
        <w:rPr>
          <w:rFonts w:hint="eastAsia" w:ascii="楷体_GB2312" w:hAnsi="仿宋" w:eastAsia="楷体_GB2312"/>
          <w:sz w:val="32"/>
          <w:szCs w:val="32"/>
        </w:rPr>
        <w:t>（三）优秀产学研协同创新人才。</w:t>
      </w:r>
      <w:r>
        <w:rPr>
          <w:rFonts w:hint="eastAsia" w:ascii="仿宋_GB2312" w:hAnsi="仿宋" w:eastAsia="仿宋_GB2312"/>
          <w:sz w:val="32"/>
          <w:szCs w:val="32"/>
        </w:rPr>
        <w:t>申请人年龄不超过40周岁，围绕我省“一主六双”高质量发展</w:t>
      </w:r>
      <w:r>
        <w:rPr>
          <w:rFonts w:ascii="仿宋_GB2312" w:hAnsi="仿宋" w:eastAsia="仿宋_GB2312"/>
          <w:sz w:val="32"/>
          <w:szCs w:val="32"/>
        </w:rPr>
        <w:t>战略</w:t>
      </w:r>
      <w:r>
        <w:rPr>
          <w:rFonts w:hint="eastAsia" w:ascii="仿宋_GB2312" w:hAnsi="仿宋" w:eastAsia="仿宋_GB2312"/>
          <w:sz w:val="32"/>
          <w:szCs w:val="32"/>
        </w:rPr>
        <w:t>和省内企业技术攻关需求，落实科技创新“揭榜挂帅”机制，能够解决产业发展关键性技术难题，或在技术创新、科技成果转化中作出明显贡献，推动创新资源转化为现实生产力。重点支持产品拥有核心技术且处于中试或产业化阶段的研究人员。</w:t>
      </w:r>
    </w:p>
    <w:p>
      <w:pPr>
        <w:spacing w:line="570" w:lineRule="exact"/>
        <w:ind w:firstLine="640"/>
        <w:rPr>
          <w:rFonts w:ascii="仿宋_GB2312" w:hAnsi="仿宋" w:eastAsia="仿宋_GB2312"/>
          <w:sz w:val="32"/>
          <w:szCs w:val="32"/>
        </w:rPr>
      </w:pPr>
      <w:r>
        <w:rPr>
          <w:rFonts w:hint="eastAsia" w:ascii="楷体_GB2312" w:hAnsi="仿宋" w:eastAsia="楷体_GB2312"/>
          <w:sz w:val="32"/>
          <w:szCs w:val="32"/>
        </w:rPr>
        <w:t>（四）优秀科研管理人才。</w:t>
      </w:r>
      <w:r>
        <w:rPr>
          <w:rFonts w:hint="eastAsia" w:ascii="仿宋_GB2312" w:hAnsi="仿宋" w:eastAsia="仿宋_GB2312"/>
          <w:sz w:val="32"/>
          <w:szCs w:val="32"/>
        </w:rPr>
        <w:t>申请人需从事科研管理工作3年及以上。具有良好的创新意识、服务意识和工作能力并取得较好的工作业绩。重点支持围绕高校科研统计、科研管理、科研体制机制改革，特别是面向高校教师科研评价、专利质量提升、成果转化激励政策、高层次人才培养和引进方式等开展对策研究的管理人员和</w:t>
      </w:r>
      <w:r>
        <w:rPr>
          <w:rFonts w:ascii="仿宋_GB2312" w:hAnsi="仿宋" w:eastAsia="仿宋_GB2312"/>
          <w:sz w:val="32"/>
          <w:szCs w:val="32"/>
        </w:rPr>
        <w:t>转化</w:t>
      </w:r>
      <w:r>
        <w:rPr>
          <w:rFonts w:hint="eastAsia" w:ascii="仿宋_GB2312" w:hAnsi="仿宋" w:eastAsia="仿宋_GB2312"/>
          <w:sz w:val="32"/>
          <w:szCs w:val="32"/>
        </w:rPr>
        <w:t>实战</w:t>
      </w:r>
      <w:r>
        <w:rPr>
          <w:rFonts w:ascii="仿宋_GB2312" w:hAnsi="仿宋" w:eastAsia="仿宋_GB2312"/>
          <w:sz w:val="32"/>
          <w:szCs w:val="32"/>
        </w:rPr>
        <w:t>人员</w:t>
      </w:r>
      <w:r>
        <w:rPr>
          <w:rFonts w:hint="eastAsia" w:ascii="仿宋_GB2312" w:hAnsi="仿宋" w:eastAsia="仿宋_GB2312"/>
          <w:sz w:val="32"/>
          <w:szCs w:val="32"/>
        </w:rPr>
        <w:t>。</w:t>
      </w:r>
    </w:p>
    <w:p>
      <w:pPr>
        <w:spacing w:line="560" w:lineRule="exact"/>
        <w:rPr>
          <w:rFonts w:ascii="仿宋_GB2312" w:hAnsi="仿宋" w:eastAsia="仿宋_GB2312"/>
          <w:sz w:val="32"/>
          <w:szCs w:val="32"/>
        </w:rPr>
      </w:pPr>
    </w:p>
    <w:sectPr>
      <w:footerReference r:id="rId3" w:type="default"/>
      <w:pgSz w:w="11900" w:h="16840"/>
      <w:pgMar w:top="2098" w:right="1474" w:bottom="198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2000000000000000000"/>
    <w:charset w:val="86"/>
    <w:family w:val="script"/>
    <w:pitch w:val="default"/>
    <w:sig w:usb0="00000000" w:usb1="00000000" w:usb2="00000012" w:usb3="00000000" w:csb0="00040001" w:csb1="00000000"/>
  </w:font>
  <w:font w:name="CESI小标宋-GB2312">
    <w:altName w:val="宋体"/>
    <w:panose1 w:val="02000500000000000000"/>
    <w:charset w:val="86"/>
    <w:family w:val="auto"/>
    <w:pitch w:val="default"/>
    <w:sig w:usb0="00000000" w:usb1="00000000" w:usb2="00000010"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path/>
          <v:fill on="f" focussize="0,0"/>
          <v:stroke on="f" weight="0.5pt" joinstyle="miter"/>
          <v:imagedata o:title=""/>
          <o:lock v:ext="edit"/>
          <v:textbox inset="0mm,0mm,0mm,0mm" style="mso-fit-shape-to-text:t;">
            <w:txbxContent>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200"/>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BiOWQ2ZjBmZjVjYjUwYTA3ODhkYWYzYWMyYTZjNDkifQ=="/>
  </w:docVars>
  <w:rsids>
    <w:rsidRoot w:val="005512A9"/>
    <w:rsid w:val="000069A3"/>
    <w:rsid w:val="000235F4"/>
    <w:rsid w:val="00025C59"/>
    <w:rsid w:val="00027A99"/>
    <w:rsid w:val="00056CF8"/>
    <w:rsid w:val="000B53F0"/>
    <w:rsid w:val="00106125"/>
    <w:rsid w:val="0019205A"/>
    <w:rsid w:val="00195810"/>
    <w:rsid w:val="001A69DF"/>
    <w:rsid w:val="00212FF9"/>
    <w:rsid w:val="00224960"/>
    <w:rsid w:val="00257294"/>
    <w:rsid w:val="002C18A0"/>
    <w:rsid w:val="00310231"/>
    <w:rsid w:val="003A372A"/>
    <w:rsid w:val="003B641A"/>
    <w:rsid w:val="00412ABF"/>
    <w:rsid w:val="00474A4C"/>
    <w:rsid w:val="004A33FB"/>
    <w:rsid w:val="005512A9"/>
    <w:rsid w:val="00585463"/>
    <w:rsid w:val="0065131A"/>
    <w:rsid w:val="006C2961"/>
    <w:rsid w:val="00726761"/>
    <w:rsid w:val="0076053A"/>
    <w:rsid w:val="00770796"/>
    <w:rsid w:val="007A0AED"/>
    <w:rsid w:val="00833120"/>
    <w:rsid w:val="00833E28"/>
    <w:rsid w:val="008468DC"/>
    <w:rsid w:val="0088778E"/>
    <w:rsid w:val="008B05F3"/>
    <w:rsid w:val="008B22DA"/>
    <w:rsid w:val="00902F93"/>
    <w:rsid w:val="00917A4A"/>
    <w:rsid w:val="0092540C"/>
    <w:rsid w:val="00955A0B"/>
    <w:rsid w:val="0096717A"/>
    <w:rsid w:val="00971456"/>
    <w:rsid w:val="009D5B3A"/>
    <w:rsid w:val="00A2653C"/>
    <w:rsid w:val="00A67740"/>
    <w:rsid w:val="00A70CD1"/>
    <w:rsid w:val="00AD0183"/>
    <w:rsid w:val="00AD511F"/>
    <w:rsid w:val="00AF53EB"/>
    <w:rsid w:val="00B10C17"/>
    <w:rsid w:val="00B37598"/>
    <w:rsid w:val="00B637D6"/>
    <w:rsid w:val="00BC73A6"/>
    <w:rsid w:val="00BE767C"/>
    <w:rsid w:val="00C17492"/>
    <w:rsid w:val="00C70F47"/>
    <w:rsid w:val="00D105AD"/>
    <w:rsid w:val="00D5164A"/>
    <w:rsid w:val="00D621EB"/>
    <w:rsid w:val="00DF59D3"/>
    <w:rsid w:val="00DF64E6"/>
    <w:rsid w:val="00DF7916"/>
    <w:rsid w:val="00E0004D"/>
    <w:rsid w:val="00E10CB7"/>
    <w:rsid w:val="00E14656"/>
    <w:rsid w:val="00E90908"/>
    <w:rsid w:val="00F91ADE"/>
    <w:rsid w:val="00F92418"/>
    <w:rsid w:val="14A31B60"/>
    <w:rsid w:val="27F77F91"/>
    <w:rsid w:val="2E9FD097"/>
    <w:rsid w:val="37DA0516"/>
    <w:rsid w:val="3BBFFE1A"/>
    <w:rsid w:val="3F6E268B"/>
    <w:rsid w:val="3F7FCD8C"/>
    <w:rsid w:val="3FF7DBC0"/>
    <w:rsid w:val="55FFE9D7"/>
    <w:rsid w:val="57EF7E4E"/>
    <w:rsid w:val="5F7A8777"/>
    <w:rsid w:val="69E69FDF"/>
    <w:rsid w:val="6BBE9FCB"/>
    <w:rsid w:val="6BCC64E2"/>
    <w:rsid w:val="6D6F87B3"/>
    <w:rsid w:val="6FEBD507"/>
    <w:rsid w:val="76F7EDE2"/>
    <w:rsid w:val="77FB8BEE"/>
    <w:rsid w:val="7AF320F8"/>
    <w:rsid w:val="7D53C074"/>
    <w:rsid w:val="7DB74888"/>
    <w:rsid w:val="7DB7EE15"/>
    <w:rsid w:val="7E9980CA"/>
    <w:rsid w:val="7F3F485E"/>
    <w:rsid w:val="9F5ED74C"/>
    <w:rsid w:val="A67E6BF5"/>
    <w:rsid w:val="A74FD346"/>
    <w:rsid w:val="ADF39209"/>
    <w:rsid w:val="AFF1B4E4"/>
    <w:rsid w:val="BBFC9CE5"/>
    <w:rsid w:val="BFA5F4EB"/>
    <w:rsid w:val="BFBD2DA0"/>
    <w:rsid w:val="BFDD24B8"/>
    <w:rsid w:val="C1FB4E06"/>
    <w:rsid w:val="CFBF09EF"/>
    <w:rsid w:val="D7F97FAC"/>
    <w:rsid w:val="E4BFB328"/>
    <w:rsid w:val="E7BD23B4"/>
    <w:rsid w:val="E7FF7BCF"/>
    <w:rsid w:val="EB9C6561"/>
    <w:rsid w:val="EEFEAF27"/>
    <w:rsid w:val="EFCFCA6A"/>
    <w:rsid w:val="F1FD3F82"/>
    <w:rsid w:val="F97D75D7"/>
    <w:rsid w:val="FA7BFFFB"/>
    <w:rsid w:val="FBFF4745"/>
    <w:rsid w:val="FC9306BB"/>
    <w:rsid w:val="FCB8A6E5"/>
    <w:rsid w:val="FCDF7AA4"/>
    <w:rsid w:val="FDBBDCE6"/>
    <w:rsid w:val="FF67A704"/>
    <w:rsid w:val="FFFB7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rPr>
  </w:style>
  <w:style w:type="character" w:styleId="8">
    <w:name w:val="Hyperlink"/>
    <w:basedOn w:val="7"/>
    <w:unhideWhenUsed/>
    <w:qFormat/>
    <w:uiPriority w:val="99"/>
    <w:rPr>
      <w:color w:val="0563C1" w:themeColor="hyperlink"/>
      <w:u w:val="single"/>
    </w:rPr>
  </w:style>
  <w:style w:type="character" w:customStyle="1" w:styleId="9">
    <w:name w:val="批注框文本 Char"/>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5</Pages>
  <Words>2318</Words>
  <Characters>2359</Characters>
  <Lines>57</Lines>
  <Paragraphs>16</Paragraphs>
  <TotalTime>0</TotalTime>
  <ScaleCrop>false</ScaleCrop>
  <LinksUpToDate>false</LinksUpToDate>
  <CharactersWithSpaces>2365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2023-04-02T03:55:00Z</dcterms:created>
  <dc:creator>Microsoft Office 用户</dc:creator>
  <cp:lastModifiedBy>Administrator</cp:lastModifiedBy>
  <cp:lastPrinted>2023-05-18T01:22:00Z</cp:lastPrinted>
  <dcterms:modified xsi:type="dcterms:W3CDTF">2023-06-13T04:35:06Z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376C8DE80B95EB60ECD72464AAF2BD9D</vt:lpwstr>
  </property>
</Properties>
</file>